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ind/>
        <w:jc w:val="both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В России появились новые направления профилактики правонарушений</w:t>
      </w:r>
    </w:p>
    <w:p w14:paraId="02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7"/>
        </w:rPr>
      </w:pPr>
      <w:r>
        <w:rPr>
          <w:rFonts w:ascii="Times New Roman" w:hAnsi="Times New Roman"/>
          <w:sz w:val="27"/>
        </w:rPr>
        <w:t>Расширен перечень основных направлений профилактики правонарушений. К ним отнесены:</w:t>
      </w:r>
    </w:p>
    <w:p w14:paraId="03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7"/>
        </w:rPr>
      </w:pPr>
      <w:r>
        <w:rPr>
          <w:rFonts w:ascii="Times New Roman" w:hAnsi="Times New Roman"/>
          <w:sz w:val="27"/>
        </w:rPr>
        <w:t>- исполнение воинской обязанности и несение военной службы;</w:t>
      </w:r>
    </w:p>
    <w:p w14:paraId="04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7"/>
        </w:rPr>
      </w:pPr>
      <w:r>
        <w:rPr>
          <w:rFonts w:ascii="Times New Roman" w:hAnsi="Times New Roman"/>
          <w:sz w:val="27"/>
        </w:rPr>
        <w:t>- обеспечение защиты исторической правды и недопущение умаления значения подвига народа при защите Отечества.</w:t>
      </w:r>
    </w:p>
    <w:p w14:paraId="05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7"/>
        </w:rPr>
      </w:pPr>
      <w:r>
        <w:rPr>
          <w:rFonts w:ascii="Times New Roman" w:hAnsi="Times New Roman"/>
          <w:sz w:val="27"/>
        </w:rPr>
        <w:t>Соответствующие поправки внесены в Закон об основах системы профилактики правонарушений в Российской Федерации.</w:t>
      </w:r>
    </w:p>
    <w:p w14:paraId="06000000">
      <w:pPr>
        <w:widowControl w:val="1"/>
        <w:ind/>
        <w:jc w:val="both"/>
        <w:rPr>
          <w:rFonts w:ascii="Times New Roman" w:hAnsi="Times New Roman"/>
          <w:sz w:val="27"/>
        </w:rPr>
      </w:pPr>
    </w:p>
    <w:p w14:paraId="07000000">
      <w:pPr>
        <w:widowControl w:val="1"/>
        <w:ind/>
        <w:jc w:val="both"/>
        <w:rPr>
          <w:rFonts w:ascii="Times New Roman" w:hAnsi="Times New Roman"/>
          <w:sz w:val="27"/>
        </w:rPr>
      </w:pPr>
    </w:p>
    <w:p w14:paraId="08000000">
      <w:pPr>
        <w:widowControl w:val="1"/>
        <w:ind/>
        <w:jc w:val="both"/>
        <w:rPr>
          <w:rFonts w:ascii="Times New Roman" w:hAnsi="Times New Roman"/>
          <w:sz w:val="27"/>
        </w:rPr>
      </w:pPr>
    </w:p>
    <w:p w14:paraId="09000000">
      <w:pPr>
        <w:widowControl w:val="1"/>
        <w:ind/>
        <w:jc w:val="both"/>
        <w:rPr>
          <w:rFonts w:ascii="Times New Roman" w:hAnsi="Times New Roman"/>
          <w:sz w:val="27"/>
        </w:rPr>
      </w:pPr>
    </w:p>
    <w:p w14:paraId="0A000000">
      <w:pPr>
        <w:widowControl w:val="1"/>
        <w:ind/>
        <w:jc w:val="both"/>
        <w:rPr>
          <w:rFonts w:ascii="Times New Roman" w:hAnsi="Times New Roman"/>
          <w:sz w:val="27"/>
        </w:rPr>
      </w:pPr>
    </w:p>
    <w:p w14:paraId="0B000000">
      <w:pPr>
        <w:widowControl w:val="1"/>
        <w:ind/>
        <w:jc w:val="both"/>
        <w:rPr>
          <w:rFonts w:ascii="Times New Roman" w:hAnsi="Times New Roman"/>
          <w:sz w:val="27"/>
        </w:rPr>
      </w:pPr>
    </w:p>
    <w:p w14:paraId="0C000000">
      <w:pPr>
        <w:widowControl w:val="1"/>
        <w:ind/>
        <w:jc w:val="both"/>
        <w:rPr>
          <w:rFonts w:ascii="Times New Roman" w:hAnsi="Times New Roman"/>
          <w:sz w:val="27"/>
        </w:rPr>
      </w:pPr>
    </w:p>
    <w:p w14:paraId="0D000000">
      <w:pPr>
        <w:widowControl w:val="1"/>
        <w:ind/>
        <w:jc w:val="both"/>
        <w:rPr>
          <w:rFonts w:ascii="Times New Roman" w:hAnsi="Times New Roman"/>
          <w:sz w:val="27"/>
        </w:rPr>
      </w:pPr>
    </w:p>
    <w:p w14:paraId="0E000000">
      <w:pPr>
        <w:widowControl w:val="1"/>
        <w:ind/>
        <w:jc w:val="both"/>
        <w:rPr>
          <w:rFonts w:ascii="Times New Roman" w:hAnsi="Times New Roman"/>
          <w:sz w:val="27"/>
        </w:rPr>
      </w:pPr>
    </w:p>
    <w:p w14:paraId="0F000000">
      <w:pPr>
        <w:widowControl w:val="1"/>
        <w:ind/>
        <w:jc w:val="both"/>
        <w:rPr>
          <w:rFonts w:ascii="Times New Roman" w:hAnsi="Times New Roman"/>
          <w:sz w:val="27"/>
        </w:rPr>
      </w:pPr>
    </w:p>
    <w:p w14:paraId="10000000">
      <w:pPr>
        <w:widowControl w:val="1"/>
        <w:ind/>
        <w:jc w:val="both"/>
        <w:rPr>
          <w:rFonts w:ascii="Times New Roman" w:hAnsi="Times New Roman"/>
          <w:sz w:val="27"/>
        </w:rPr>
      </w:pPr>
    </w:p>
    <w:p w14:paraId="11000000">
      <w:pPr>
        <w:widowControl w:val="1"/>
        <w:ind/>
        <w:jc w:val="both"/>
        <w:rPr>
          <w:rFonts w:ascii="Times New Roman" w:hAnsi="Times New Roman"/>
          <w:sz w:val="27"/>
        </w:rPr>
      </w:pPr>
    </w:p>
    <w:p w14:paraId="12000000">
      <w:pPr>
        <w:widowControl w:val="1"/>
        <w:ind/>
        <w:jc w:val="both"/>
        <w:rPr>
          <w:rFonts w:ascii="Times New Roman" w:hAnsi="Times New Roman"/>
          <w:sz w:val="27"/>
        </w:rPr>
      </w:pPr>
    </w:p>
    <w:p w14:paraId="13000000">
      <w:pPr>
        <w:widowControl w:val="1"/>
        <w:ind/>
        <w:jc w:val="both"/>
        <w:rPr>
          <w:rFonts w:ascii="Times New Roman" w:hAnsi="Times New Roman"/>
          <w:sz w:val="27"/>
        </w:rPr>
      </w:pPr>
    </w:p>
    <w:p w14:paraId="14000000">
      <w:pPr>
        <w:widowControl w:val="1"/>
        <w:ind/>
        <w:jc w:val="both"/>
        <w:rPr>
          <w:rFonts w:ascii="Times New Roman" w:hAnsi="Times New Roman"/>
          <w:sz w:val="27"/>
        </w:rPr>
      </w:pPr>
    </w:p>
    <w:p w14:paraId="15000000">
      <w:pPr>
        <w:widowControl w:val="1"/>
        <w:ind/>
        <w:jc w:val="both"/>
        <w:rPr>
          <w:rFonts w:ascii="Times New Roman" w:hAnsi="Times New Roman"/>
          <w:sz w:val="27"/>
        </w:rPr>
      </w:pPr>
    </w:p>
    <w:p w14:paraId="16000000">
      <w:pPr>
        <w:widowControl w:val="1"/>
        <w:ind/>
        <w:jc w:val="both"/>
        <w:rPr>
          <w:rFonts w:ascii="Times New Roman" w:hAnsi="Times New Roman"/>
          <w:sz w:val="27"/>
        </w:rPr>
      </w:pPr>
    </w:p>
    <w:p w14:paraId="17000000">
      <w:pPr>
        <w:widowControl w:val="1"/>
        <w:ind/>
        <w:jc w:val="both"/>
        <w:rPr>
          <w:rFonts w:ascii="Times New Roman" w:hAnsi="Times New Roman"/>
          <w:sz w:val="27"/>
        </w:rPr>
      </w:pPr>
    </w:p>
    <w:p w14:paraId="18000000">
      <w:pPr>
        <w:widowControl w:val="1"/>
        <w:ind/>
        <w:jc w:val="both"/>
        <w:rPr>
          <w:rFonts w:ascii="Times New Roman" w:hAnsi="Times New Roman"/>
          <w:sz w:val="27"/>
        </w:rPr>
      </w:pPr>
    </w:p>
    <w:p w14:paraId="19000000">
      <w:pPr>
        <w:widowControl w:val="1"/>
        <w:ind/>
        <w:jc w:val="both"/>
        <w:rPr>
          <w:rFonts w:ascii="Times New Roman" w:hAnsi="Times New Roman"/>
          <w:sz w:val="27"/>
        </w:rPr>
      </w:pPr>
    </w:p>
    <w:p w14:paraId="1A000000">
      <w:pPr>
        <w:widowControl w:val="1"/>
        <w:ind/>
        <w:jc w:val="both"/>
        <w:rPr>
          <w:rFonts w:ascii="Times New Roman" w:hAnsi="Times New Roman"/>
          <w:sz w:val="27"/>
        </w:rPr>
      </w:pPr>
    </w:p>
    <w:p w14:paraId="1B000000">
      <w:pPr>
        <w:widowControl w:val="1"/>
        <w:ind/>
        <w:jc w:val="both"/>
        <w:rPr>
          <w:rFonts w:ascii="Times New Roman" w:hAnsi="Times New Roman"/>
          <w:sz w:val="27"/>
        </w:rPr>
      </w:pPr>
    </w:p>
    <w:p w14:paraId="1C000000">
      <w:pPr>
        <w:widowControl w:val="1"/>
        <w:ind/>
        <w:jc w:val="both"/>
        <w:rPr>
          <w:rFonts w:ascii="Times New Roman" w:hAnsi="Times New Roman"/>
          <w:sz w:val="27"/>
        </w:rPr>
      </w:pPr>
    </w:p>
    <w:p w14:paraId="1D000000">
      <w:pPr>
        <w:widowControl w:val="1"/>
        <w:ind/>
        <w:jc w:val="both"/>
        <w:rPr>
          <w:rFonts w:ascii="Times New Roman" w:hAnsi="Times New Roman"/>
          <w:sz w:val="27"/>
        </w:rPr>
      </w:pP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160" w:before="0" w:line="259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Default Paragraph Font"/>
    <w:link w:val="Style_8_ch"/>
  </w:style>
  <w:style w:styleId="Style_8_ch" w:type="character">
    <w:name w:val="Default Paragraph Font"/>
    <w:link w:val="Style_8"/>
  </w:style>
  <w:style w:styleId="Style_9" w:type="paragraph">
    <w:name w:val="toc 3"/>
    <w:next w:val="Style_1"/>
    <w:link w:val="Style_9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9_ch" w:type="character">
    <w:name w:val="toc 3"/>
    <w:link w:val="Style_9"/>
    <w:rPr>
      <w:rFonts w:ascii="XO Thames" w:hAnsi="XO Thames"/>
      <w:sz w:val="28"/>
    </w:rPr>
  </w:style>
  <w:style w:styleId="Style_10" w:type="paragraph">
    <w:name w:val="heading 5"/>
    <w:next w:val="Style_1"/>
    <w:link w:val="Style_10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0_ch" w:type="character">
    <w:name w:val="heading 5"/>
    <w:link w:val="Style_10"/>
    <w:rPr>
      <w:rFonts w:ascii="XO Thames" w:hAnsi="XO Thames"/>
      <w:b w:val="1"/>
      <w:sz w:val="22"/>
    </w:rPr>
  </w:style>
  <w:style w:styleId="Style_11" w:type="paragraph">
    <w:name w:val="heading 1"/>
    <w:next w:val="Style_1"/>
    <w:link w:val="Style_11_ch"/>
    <w:uiPriority w:val="9"/>
    <w:qFormat/>
    <w:pPr>
      <w:widowControl w:val="1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1_ch" w:type="character">
    <w:name w:val="heading 1"/>
    <w:link w:val="Style_11"/>
    <w:rPr>
      <w:rFonts w:ascii="XO Thames" w:hAnsi="XO Thames"/>
      <w:b w:val="1"/>
      <w:sz w:val="32"/>
    </w:rPr>
  </w:style>
  <w:style w:styleId="Style_12" w:type="paragraph">
    <w:name w:val="Hyperlink"/>
    <w:link w:val="Style_12_ch"/>
    <w:rPr>
      <w:color w:val="0000FF"/>
      <w:u w:val="single"/>
    </w:rPr>
  </w:style>
  <w:style w:styleId="Style_12_ch" w:type="character">
    <w:name w:val="Hyperlink"/>
    <w:link w:val="Style_12"/>
    <w:rPr>
      <w:color w:val="0000FF"/>
      <w:u w:val="single"/>
    </w:rPr>
  </w:style>
  <w:style w:styleId="Style_13" w:type="paragraph">
    <w:name w:val="Footnote"/>
    <w:link w:val="Style_13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3_ch" w:type="character">
    <w:name w:val="Footnote"/>
    <w:link w:val="Style_13"/>
    <w:rPr>
      <w:rFonts w:ascii="XO Thames" w:hAnsi="XO Thames"/>
      <w:sz w:val="22"/>
    </w:rPr>
  </w:style>
  <w:style w:styleId="Style_14" w:type="paragraph">
    <w:name w:val="toc 1"/>
    <w:next w:val="Style_1"/>
    <w:link w:val="Style_14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14_ch" w:type="character">
    <w:name w:val="toc 1"/>
    <w:link w:val="Style_14"/>
    <w:rPr>
      <w:rFonts w:ascii="XO Thames" w:hAnsi="XO Thames"/>
      <w:b w:val="1"/>
      <w:sz w:val="28"/>
    </w:rPr>
  </w:style>
  <w:style w:styleId="Style_15" w:type="paragraph">
    <w:name w:val="Header and Footer"/>
    <w:link w:val="Style_15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15_ch" w:type="character">
    <w:name w:val="Header and Footer"/>
    <w:link w:val="Style_15"/>
    <w:rPr>
      <w:rFonts w:ascii="XO Thames" w:hAnsi="XO Thames"/>
      <w:sz w:val="28"/>
    </w:rPr>
  </w:style>
  <w:style w:styleId="Style_16" w:type="paragraph">
    <w:name w:val="toc 9"/>
    <w:next w:val="Style_1"/>
    <w:link w:val="Style_16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16_ch" w:type="character">
    <w:name w:val="toc 9"/>
    <w:link w:val="Style_16"/>
    <w:rPr>
      <w:rFonts w:ascii="XO Thames" w:hAnsi="XO Thames"/>
      <w:sz w:val="28"/>
    </w:rPr>
  </w:style>
  <w:style w:styleId="Style_17" w:type="paragraph">
    <w:name w:val="toc 8"/>
    <w:next w:val="Style_1"/>
    <w:link w:val="Style_17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17_ch" w:type="character">
    <w:name w:val="toc 8"/>
    <w:link w:val="Style_17"/>
    <w:rPr>
      <w:rFonts w:ascii="XO Thames" w:hAnsi="XO Thames"/>
      <w:sz w:val="28"/>
    </w:rPr>
  </w:style>
  <w:style w:styleId="Style_18" w:type="paragraph">
    <w:name w:val="toc 5"/>
    <w:next w:val="Style_1"/>
    <w:link w:val="Style_18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18_ch" w:type="character">
    <w:name w:val="toc 5"/>
    <w:link w:val="Style_18"/>
    <w:rPr>
      <w:rFonts w:ascii="XO Thames" w:hAnsi="XO Thames"/>
      <w:sz w:val="28"/>
    </w:rPr>
  </w:style>
  <w:style w:styleId="Style_19" w:type="paragraph">
    <w:name w:val="Subtitle"/>
    <w:next w:val="Style_1"/>
    <w:link w:val="Style_19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19_ch" w:type="character">
    <w:name w:val="Subtitle"/>
    <w:link w:val="Style_19"/>
    <w:rPr>
      <w:rFonts w:ascii="XO Thames" w:hAnsi="XO Thames"/>
      <w:i w:val="1"/>
      <w:sz w:val="24"/>
    </w:rPr>
  </w:style>
  <w:style w:styleId="Style_20" w:type="paragraph">
    <w:name w:val="Title"/>
    <w:next w:val="Style_1"/>
    <w:link w:val="Style_20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0_ch" w:type="character">
    <w:name w:val="Title"/>
    <w:link w:val="Style_20"/>
    <w:rPr>
      <w:rFonts w:ascii="XO Thames" w:hAnsi="XO Thames"/>
      <w:b w:val="1"/>
      <w:caps w:val="1"/>
      <w:sz w:val="40"/>
    </w:rPr>
  </w:style>
  <w:style w:styleId="Style_21" w:type="paragraph">
    <w:name w:val="heading 4"/>
    <w:next w:val="Style_1"/>
    <w:link w:val="Style_21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1_ch" w:type="character">
    <w:name w:val="heading 4"/>
    <w:link w:val="Style_21"/>
    <w:rPr>
      <w:rFonts w:ascii="XO Thames" w:hAnsi="XO Thames"/>
      <w:b w:val="1"/>
      <w:sz w:val="24"/>
    </w:rPr>
  </w:style>
  <w:style w:styleId="Style_22" w:type="paragraph">
    <w:name w:val="heading 2"/>
    <w:next w:val="Style_1"/>
    <w:link w:val="Style_22_ch"/>
    <w:uiPriority w:val="9"/>
    <w:qFormat/>
    <w:pPr>
      <w:widowControl w:val="1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2_ch" w:type="character">
    <w:name w:val="heading 2"/>
    <w:link w:val="Style_22"/>
    <w:rPr>
      <w:rFonts w:ascii="XO Thames" w:hAnsi="XO Thames"/>
      <w:b w:val="1"/>
      <w:sz w:val="28"/>
    </w:rPr>
  </w:style>
  <w:style w:default="1" w:styleId="Style_2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2026-06-25T02:39:43Z</dcterms:created>
  <dcterms:modified xsi:type="dcterms:W3CDTF">2026-06-25T03:06:43Z</dcterms:modified>
</cp:coreProperties>
</file>